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993" w:firstLine="993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экспертизы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исполнительного комитета Альметьевского муниципального района от 28.07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.2024 г. №2200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схемы размещения сезонных нестационарных торговых объектов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на земельных участках общественных пространств г. Альметьевска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 соответствии с постановлением и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сполнительного комитета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Альметьевского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01.08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.2017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  №1226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  «О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утверждении П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оложени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Альметьевского</w:t>
      </w:r>
      <w:r>
        <w:rPr>
          <w:rFonts w:ascii="Times New Roman" w:hAnsi="Times New Roman" w:eastAsia="Times New Roman" w:cs="Times New Roman"/>
          <w:color w:val="17171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Татарстан»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проводятся публичные консультации  по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Альметьевского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28.07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.2024 г. №2200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схемы размещения сезонных нестационарных торговых объектов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на земельных участках общественных пространств г. Альметьевска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171717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171717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Разработчик –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МБУ «Дирекция общественных пространств г. Альметьевск».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Ответственное лицо: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отдел торговли, потребительских услуг и развития предпринимательства.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Контактные данные: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A.Nasyrov@tatar.ru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@tatar.ru</w:t>
      </w:r>
      <w:r>
        <w:rPr>
          <w:rFonts w:eastAsia="Times New Roman"/>
          <w:sz w:val="28"/>
          <w:szCs w:val="28"/>
          <w:lang w:eastAsia="ru-RU"/>
        </w:rPr>
        <w:t xml:space="preserve">;</w:t>
      </w:r>
      <w:r>
        <w:rPr>
          <w:rFonts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дрес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423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450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РТ,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Альметьевский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Ленина 39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телефон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8(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8553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39-01-34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Приглашаем представителей бизнес-объединений и иных заинтересованных лиц принять участие в публичных консультация в рамках экспертизы указанного нормативно-правового акта.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ответственным лицом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.09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06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.10.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  <w:t xml:space="preserve">Предложения по проекту решения принимаются на адрес электронной почты или в письменном виде на почтовый адрес.</w:t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</w:p>
    <w:p>
      <w:pPr>
        <w:ind w:firstLine="300"/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</w:p>
    <w:p>
      <w:pPr>
        <w:ind w:left="3828"/>
        <w:jc w:val="both"/>
        <w:spacing w:after="0" w:line="240" w:lineRule="auto"/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</w:p>
    <w:p>
      <w:pPr>
        <w:ind w:left="3828"/>
        <w:jc w:val="both"/>
        <w:spacing w:after="0" w:line="240" w:lineRule="auto"/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71717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567" w:right="566" w:bottom="1134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after="200" w:line="276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headertext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 w:customStyle="1">
    <w:name w:val="match"/>
    <w:basedOn w:val="618"/>
  </w:style>
  <w:style w:type="character" w:styleId="623">
    <w:name w:val="Hyperlink"/>
    <w:basedOn w:val="618"/>
    <w:uiPriority w:val="99"/>
    <w:unhideWhenUsed/>
    <w:rPr>
      <w:color w:val="0563c1" w:themeColor="hyperlink"/>
      <w:u w:val="single"/>
    </w:rPr>
  </w:style>
  <w:style w:type="character" w:styleId="624" w:customStyle="1">
    <w:name w:val="extendedtext-short"/>
    <w:basedOn w:val="618"/>
  </w:style>
  <w:style w:type="paragraph" w:styleId="625">
    <w:name w:val="List Paragraph"/>
    <w:basedOn w:val="617"/>
    <w:uiPriority w:val="34"/>
    <w:qFormat/>
    <w:pPr>
      <w:contextualSpacing/>
      <w:ind w:left="720"/>
    </w:pPr>
  </w:style>
  <w:style w:type="paragraph" w:styleId="626">
    <w:name w:val="Balloon Text"/>
    <w:basedOn w:val="617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18"/>
    <w:link w:val="62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AMR</cp:lastModifiedBy>
  <cp:revision>3</cp:revision>
  <dcterms:created xsi:type="dcterms:W3CDTF">2025-06-24T08:13:00Z</dcterms:created>
  <dcterms:modified xsi:type="dcterms:W3CDTF">2025-09-17T10:32:07Z</dcterms:modified>
</cp:coreProperties>
</file>